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62B98A1D" w:rsidR="00D12567" w:rsidRPr="003D7B04" w:rsidRDefault="00D95016" w:rsidP="008D19DF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6AC43E2E" w:rsidR="00D12567" w:rsidRPr="003D7B04" w:rsidRDefault="00D12567" w:rsidP="008D19DF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E03895">
        <w:rPr>
          <w:rFonts w:cs="Calibri"/>
          <w:szCs w:val="24"/>
          <w:u w:val="single"/>
        </w:rPr>
        <w:t>13.05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32546081" w14:textId="77777777" w:rsidR="00D12567" w:rsidRPr="003D7B04" w:rsidRDefault="00D12567" w:rsidP="008D19DF">
      <w:pPr>
        <w:contextualSpacing/>
        <w:jc w:val="both"/>
        <w:rPr>
          <w:rFonts w:cs="Calibri"/>
          <w:szCs w:val="24"/>
        </w:rPr>
      </w:pPr>
    </w:p>
    <w:p w14:paraId="0A1C09B5" w14:textId="140F5D44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Rekonstrukce komunikace Lipová II. etapa – výběr zhotovitele (mat. č. 171/2024)</w:t>
      </w:r>
    </w:p>
    <w:p w14:paraId="526CA690" w14:textId="77777777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D3EB69C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124F02D0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szCs w:val="24"/>
        </w:rPr>
      </w:pPr>
      <w:r w:rsidRPr="00607826">
        <w:rPr>
          <w:rFonts w:asciiTheme="minorHAnsi" w:hAnsiTheme="minorHAnsi" w:cstheme="minorHAnsi"/>
          <w:b/>
          <w:szCs w:val="24"/>
        </w:rPr>
        <w:t xml:space="preserve">I. Bere na vědomí  </w:t>
      </w:r>
    </w:p>
    <w:p w14:paraId="7C2BA613" w14:textId="77777777" w:rsidR="00607826" w:rsidRPr="00607826" w:rsidRDefault="00607826" w:rsidP="00607826">
      <w:pPr>
        <w:jc w:val="both"/>
        <w:rPr>
          <w:rFonts w:asciiTheme="minorHAnsi" w:hAnsiTheme="minorHAnsi" w:cstheme="minorHAnsi"/>
          <w:szCs w:val="24"/>
        </w:rPr>
      </w:pPr>
      <w:r w:rsidRPr="00607826">
        <w:rPr>
          <w:rFonts w:asciiTheme="minorHAnsi" w:hAnsiTheme="minorHAnsi" w:cstheme="minorHAnsi"/>
          <w:szCs w:val="24"/>
        </w:rPr>
        <w:t xml:space="preserve">Zprávu o otevírání obálek s nabídkami a hodnocení nabídek, týkající se výběrového řízení na výběr dodavatele na stavební zakázku: „Rekonstrukce parkovacích ploch a chodníků ulice Lipová 60, Sezimovo Ústí </w:t>
      </w:r>
      <w:proofErr w:type="gramStart"/>
      <w:r w:rsidRPr="00607826">
        <w:rPr>
          <w:rFonts w:asciiTheme="minorHAnsi" w:hAnsiTheme="minorHAnsi" w:cstheme="minorHAnsi"/>
          <w:szCs w:val="24"/>
        </w:rPr>
        <w:t>II.–</w:t>
      </w:r>
      <w:proofErr w:type="gramEnd"/>
      <w:r w:rsidRPr="00607826">
        <w:rPr>
          <w:rFonts w:asciiTheme="minorHAnsi" w:hAnsiTheme="minorHAnsi" w:cstheme="minorHAnsi"/>
          <w:szCs w:val="24"/>
        </w:rPr>
        <w:t>2.etapa“</w:t>
      </w:r>
    </w:p>
    <w:p w14:paraId="318F0FCE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szCs w:val="24"/>
        </w:rPr>
      </w:pPr>
      <w:r w:rsidRPr="00607826">
        <w:rPr>
          <w:rFonts w:asciiTheme="minorHAnsi" w:hAnsiTheme="minorHAnsi" w:cstheme="minorHAnsi"/>
          <w:b/>
          <w:szCs w:val="24"/>
        </w:rPr>
        <w:t>II. Schvaluje</w:t>
      </w:r>
    </w:p>
    <w:p w14:paraId="585E10B3" w14:textId="5B09F863" w:rsidR="00607826" w:rsidRPr="00607826" w:rsidRDefault="00607826" w:rsidP="00A71934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07826">
        <w:rPr>
          <w:rFonts w:asciiTheme="minorHAnsi" w:hAnsiTheme="minorHAnsi" w:cstheme="minorHAnsi"/>
          <w:sz w:val="24"/>
          <w:szCs w:val="24"/>
        </w:rPr>
        <w:t xml:space="preserve">uzavření smlouvy o dílo na stavební zakázku: „Rekonstrukce parkovacích ploch a chodníků ulice Lipová 60, Sezimovo Ústí </w:t>
      </w:r>
      <w:proofErr w:type="gramStart"/>
      <w:r w:rsidRPr="00607826">
        <w:rPr>
          <w:rFonts w:asciiTheme="minorHAnsi" w:hAnsiTheme="minorHAnsi" w:cstheme="minorHAnsi"/>
          <w:sz w:val="24"/>
          <w:szCs w:val="24"/>
        </w:rPr>
        <w:t>II.–</w:t>
      </w:r>
      <w:proofErr w:type="gramEnd"/>
      <w:r w:rsidRPr="00607826">
        <w:rPr>
          <w:rFonts w:asciiTheme="minorHAnsi" w:hAnsiTheme="minorHAnsi" w:cstheme="minorHAnsi"/>
          <w:sz w:val="24"/>
          <w:szCs w:val="24"/>
        </w:rPr>
        <w:t>2.etapa“ s</w:t>
      </w:r>
      <w:r w:rsidR="004F69F4">
        <w:rPr>
          <w:rFonts w:asciiTheme="minorHAnsi" w:hAnsiTheme="minorHAnsi" w:cstheme="minorHAnsi"/>
          <w:sz w:val="24"/>
          <w:szCs w:val="24"/>
        </w:rPr>
        <w:t> </w:t>
      </w:r>
      <w:r w:rsidRPr="00607826">
        <w:rPr>
          <w:rFonts w:asciiTheme="minorHAnsi" w:hAnsiTheme="minorHAnsi" w:cstheme="minorHAnsi"/>
          <w:sz w:val="24"/>
          <w:szCs w:val="24"/>
        </w:rPr>
        <w:t>uchazečem</w:t>
      </w:r>
      <w:r w:rsidR="004F69F4">
        <w:rPr>
          <w:rFonts w:asciiTheme="minorHAnsi" w:hAnsiTheme="minorHAnsi" w:cstheme="minorHAnsi"/>
          <w:sz w:val="24"/>
          <w:szCs w:val="24"/>
        </w:rPr>
        <w:t xml:space="preserve">, </w:t>
      </w:r>
      <w:r w:rsidRPr="00607826">
        <w:rPr>
          <w:rFonts w:asciiTheme="minorHAnsi" w:hAnsiTheme="minorHAnsi" w:cstheme="minorHAnsi"/>
          <w:sz w:val="24"/>
          <w:szCs w:val="24"/>
        </w:rPr>
        <w:t xml:space="preserve">který předložil nabídku vyhodnocenou jako nejlepší, kterou předložil AKORD – stavební a obchodní společnost, spol. s.r.o., A. Trägera 2654, </w:t>
      </w:r>
      <w:r w:rsidR="00A71934">
        <w:rPr>
          <w:rFonts w:asciiTheme="minorHAnsi" w:hAnsiTheme="minorHAnsi" w:cstheme="minorHAnsi"/>
          <w:sz w:val="24"/>
          <w:szCs w:val="24"/>
        </w:rPr>
        <w:br/>
      </w:r>
      <w:r w:rsidRPr="00607826">
        <w:rPr>
          <w:rFonts w:asciiTheme="minorHAnsi" w:hAnsiTheme="minorHAnsi" w:cstheme="minorHAnsi"/>
          <w:sz w:val="24"/>
          <w:szCs w:val="24"/>
        </w:rPr>
        <w:t>370 10 České Budějovice, IČO: 60875691, nabídková cena za dílo činí 5.538.657,11 Kč bez DPH, 6.701.775,10 Kč s 21 % DPH.</w:t>
      </w:r>
    </w:p>
    <w:p w14:paraId="70BD7695" w14:textId="77777777" w:rsidR="00607826" w:rsidRPr="00607826" w:rsidRDefault="00607826" w:rsidP="00607826">
      <w:pPr>
        <w:jc w:val="both"/>
        <w:rPr>
          <w:rFonts w:asciiTheme="minorHAnsi" w:hAnsiTheme="minorHAnsi" w:cstheme="minorHAnsi"/>
          <w:szCs w:val="24"/>
        </w:rPr>
      </w:pPr>
      <w:r w:rsidRPr="00607826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607826">
        <w:rPr>
          <w:rFonts w:asciiTheme="minorHAnsi" w:hAnsiTheme="minorHAnsi" w:cstheme="minorHAnsi"/>
          <w:szCs w:val="24"/>
        </w:rPr>
        <w:t>6A</w:t>
      </w:r>
      <w:proofErr w:type="gramEnd"/>
      <w:r w:rsidRPr="00607826">
        <w:rPr>
          <w:rFonts w:asciiTheme="minorHAnsi" w:hAnsiTheme="minorHAnsi" w:cstheme="minorHAnsi"/>
          <w:szCs w:val="24"/>
        </w:rPr>
        <w:t>/0N/0Z</w:t>
      </w:r>
    </w:p>
    <w:p w14:paraId="2F7B315C" w14:textId="77777777" w:rsidR="00607826" w:rsidRDefault="00607826" w:rsidP="00607826">
      <w:pPr>
        <w:jc w:val="both"/>
        <w:rPr>
          <w:rFonts w:cs="Calibri"/>
          <w:szCs w:val="24"/>
        </w:rPr>
      </w:pPr>
    </w:p>
    <w:p w14:paraId="70AD262A" w14:textId="58CB7056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Snížení ceny pronájmu prostor Letního kina – CODA (mat. č. 172/2024)</w:t>
      </w:r>
    </w:p>
    <w:p w14:paraId="12B649B4" w14:textId="4E9D9E72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63642A6" w14:textId="77777777" w:rsidR="00607826" w:rsidRP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szCs w:val="24"/>
        </w:rPr>
        <w:t>RM po projednání</w:t>
      </w:r>
      <w:r w:rsidRPr="00607826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AEEC539" w14:textId="77777777" w:rsidR="00607826" w:rsidRPr="00607826" w:rsidRDefault="00607826" w:rsidP="00607826">
      <w:pPr>
        <w:pStyle w:val="Zkladntext"/>
        <w:jc w:val="both"/>
        <w:rPr>
          <w:rFonts w:asciiTheme="minorHAnsi" w:hAnsiTheme="minorHAnsi"/>
          <w:b/>
          <w:sz w:val="24"/>
        </w:rPr>
      </w:pPr>
      <w:r w:rsidRPr="00607826">
        <w:rPr>
          <w:rFonts w:asciiTheme="minorHAnsi" w:hAnsiTheme="minorHAnsi"/>
          <w:b/>
          <w:sz w:val="24"/>
        </w:rPr>
        <w:t>I. Schvaluje</w:t>
      </w:r>
    </w:p>
    <w:p w14:paraId="35110F66" w14:textId="1A4BB206" w:rsidR="00607826" w:rsidRPr="00607826" w:rsidRDefault="00607826" w:rsidP="00607826">
      <w:pPr>
        <w:jc w:val="both"/>
        <w:rPr>
          <w:rFonts w:cs="Calibri"/>
          <w:szCs w:val="24"/>
        </w:rPr>
      </w:pPr>
      <w:r w:rsidRPr="00607826">
        <w:rPr>
          <w:rFonts w:cs="Calibri"/>
          <w:szCs w:val="24"/>
        </w:rPr>
        <w:t xml:space="preserve">snížení ceny pronájmu prostor letního kina spolku CODA </w:t>
      </w:r>
      <w:proofErr w:type="spellStart"/>
      <w:r w:rsidRPr="00607826">
        <w:rPr>
          <w:rFonts w:cs="Calibri"/>
          <w:szCs w:val="24"/>
        </w:rPr>
        <w:t>z.s</w:t>
      </w:r>
      <w:proofErr w:type="spellEnd"/>
      <w:r w:rsidRPr="00607826">
        <w:rPr>
          <w:rFonts w:cs="Calibri"/>
          <w:szCs w:val="24"/>
        </w:rPr>
        <w:t xml:space="preserve">., IČ: 265 63 860, sídlo: </w:t>
      </w:r>
      <w:proofErr w:type="spellStart"/>
      <w:r w:rsidRPr="00607826">
        <w:rPr>
          <w:rFonts w:cs="Calibri"/>
          <w:szCs w:val="24"/>
        </w:rPr>
        <w:t>Světlogorská</w:t>
      </w:r>
      <w:proofErr w:type="spellEnd"/>
      <w:r w:rsidRPr="00607826">
        <w:rPr>
          <w:rFonts w:cs="Calibri"/>
          <w:szCs w:val="24"/>
        </w:rPr>
        <w:t xml:space="preserve"> 2771/3, 390 05 Tábor, na částku 10.000 Kč, za účelem zkoušek</w:t>
      </w:r>
      <w:r w:rsidR="00331BDF">
        <w:rPr>
          <w:rFonts w:cs="Calibri"/>
          <w:szCs w:val="24"/>
        </w:rPr>
        <w:t xml:space="preserve"> dne 18.06.2024</w:t>
      </w:r>
      <w:r w:rsidRPr="00607826">
        <w:rPr>
          <w:rFonts w:cs="Calibri"/>
          <w:szCs w:val="24"/>
        </w:rPr>
        <w:t xml:space="preserve"> (bez technické podpory) a finálního tanečního vystoupení v termínu 19.06.2024 (s technickou podporou), a to na základě žádosti Markéty Švecové, jednatelky spolku, ze dne 30.04.2024. </w:t>
      </w:r>
    </w:p>
    <w:p w14:paraId="317141D7" w14:textId="77777777" w:rsidR="00607826" w:rsidRPr="00607826" w:rsidRDefault="00607826" w:rsidP="00607826">
      <w:pPr>
        <w:jc w:val="both"/>
        <w:rPr>
          <w:rFonts w:cs="Calibri"/>
          <w:szCs w:val="24"/>
        </w:rPr>
      </w:pPr>
      <w:r w:rsidRPr="00607826">
        <w:rPr>
          <w:rFonts w:cs="Calibri"/>
          <w:szCs w:val="24"/>
        </w:rPr>
        <w:t xml:space="preserve">Hlasování </w:t>
      </w:r>
      <w:proofErr w:type="gramStart"/>
      <w:r w:rsidRPr="00607826">
        <w:rPr>
          <w:rFonts w:cs="Calibri"/>
          <w:szCs w:val="24"/>
        </w:rPr>
        <w:t>6A</w:t>
      </w:r>
      <w:proofErr w:type="gramEnd"/>
      <w:r w:rsidRPr="00607826">
        <w:rPr>
          <w:rFonts w:cs="Calibri"/>
          <w:szCs w:val="24"/>
        </w:rPr>
        <w:t>/0N/0Z</w:t>
      </w:r>
    </w:p>
    <w:p w14:paraId="60F79218" w14:textId="77777777" w:rsidR="00607826" w:rsidRDefault="00607826" w:rsidP="00607826">
      <w:pPr>
        <w:jc w:val="both"/>
        <w:rPr>
          <w:rFonts w:cs="Calibri"/>
          <w:szCs w:val="24"/>
        </w:rPr>
      </w:pPr>
    </w:p>
    <w:p w14:paraId="3D9E090D" w14:textId="14695C0B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Svoz a uložení bioodpadů v Sezimově Ústí – VZ (mat. č. 173/2024)</w:t>
      </w:r>
    </w:p>
    <w:p w14:paraId="4D02866B" w14:textId="6FE4093D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4EB92E1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1AA3B00C" w14:textId="77777777" w:rsidR="00607826" w:rsidRPr="00BE3214" w:rsidRDefault="00607826" w:rsidP="00607826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14A57DED" w14:textId="77777777" w:rsidR="00607826" w:rsidRPr="00685D6B" w:rsidRDefault="00607826" w:rsidP="00607826">
      <w:pPr>
        <w:contextualSpacing/>
        <w:jc w:val="both"/>
      </w:pPr>
      <w:r>
        <w:t>zápis o posouzení a hodnocení podaných</w:t>
      </w:r>
      <w:r w:rsidRPr="00735E86">
        <w:t xml:space="preserve"> nabídek týkající se výběrového řízení na výběr </w:t>
      </w:r>
      <w:r>
        <w:t>poskytovatele svozu a uložení bioodpadů z</w:t>
      </w:r>
      <w:r w:rsidRPr="00735E86">
        <w:t xml:space="preserve"> </w:t>
      </w:r>
      <w:r>
        <w:t xml:space="preserve">300 </w:t>
      </w:r>
      <w:proofErr w:type="spellStart"/>
      <w:r>
        <w:t>bionádob</w:t>
      </w:r>
      <w:proofErr w:type="spellEnd"/>
      <w:r>
        <w:t xml:space="preserve"> v rámci veřejné </w:t>
      </w:r>
      <w:r w:rsidRPr="00735E86">
        <w:t>zakázk</w:t>
      </w:r>
      <w:r>
        <w:t>y</w:t>
      </w:r>
      <w:r w:rsidRPr="00735E86">
        <w:t xml:space="preserve">: </w:t>
      </w:r>
      <w:r>
        <w:t>„</w:t>
      </w:r>
      <w:r w:rsidRPr="00B63397">
        <w:t>Svoz a uložení bioodpadů v Sezimově Ústí</w:t>
      </w:r>
      <w:r w:rsidRPr="00685D6B">
        <w:t>“.</w:t>
      </w:r>
    </w:p>
    <w:p w14:paraId="2BDC9E1A" w14:textId="77777777" w:rsidR="00607826" w:rsidRDefault="00607826" w:rsidP="00607826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</w:t>
      </w:r>
      <w:r w:rsidRPr="008B4CAE">
        <w:rPr>
          <w:rFonts w:cs="Calibri"/>
          <w:b/>
          <w:szCs w:val="24"/>
        </w:rPr>
        <w:t>Souhlasí</w:t>
      </w:r>
    </w:p>
    <w:p w14:paraId="49AA1D57" w14:textId="102C35CA" w:rsidR="00607826" w:rsidRPr="009663A1" w:rsidRDefault="00607826" w:rsidP="00607826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F96988">
        <w:rPr>
          <w:rFonts w:ascii="Calibri" w:hAnsi="Calibri"/>
        </w:rPr>
        <w:t>s uzavřením smlouvy s uchazečem</w:t>
      </w:r>
      <w:r w:rsidRPr="00735E86">
        <w:rPr>
          <w:rFonts w:ascii="Calibri" w:hAnsi="Calibri"/>
        </w:rPr>
        <w:t>, který předložil nabídku</w:t>
      </w:r>
      <w:r w:rsidR="004F69F4">
        <w:rPr>
          <w:rFonts w:ascii="Calibri" w:hAnsi="Calibri"/>
        </w:rPr>
        <w:t xml:space="preserve"> </w:t>
      </w:r>
      <w:r w:rsidRPr="00735E86">
        <w:rPr>
          <w:rFonts w:ascii="Calibri" w:hAnsi="Calibri"/>
        </w:rPr>
        <w:t>vyhodnocenou jako nejlepší, kter</w:t>
      </w:r>
      <w:r w:rsidR="004F69F4">
        <w:rPr>
          <w:rFonts w:ascii="Calibri" w:hAnsi="Calibri"/>
        </w:rPr>
        <w:t>ým</w:t>
      </w:r>
      <w:r w:rsidRPr="00735E86"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Rumpold</w:t>
      </w:r>
      <w:proofErr w:type="spellEnd"/>
      <w:r>
        <w:rPr>
          <w:rFonts w:ascii="Calibri" w:hAnsi="Calibri"/>
        </w:rPr>
        <w:t xml:space="preserve"> s.r.o.</w:t>
      </w:r>
      <w:r w:rsidRPr="004E351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Klimentská 1746/52, 110 00 Praha 1, IČO: 61459364, </w:t>
      </w:r>
      <w:r w:rsidRPr="00F96988">
        <w:rPr>
          <w:rFonts w:ascii="Calibri" w:hAnsi="Calibri"/>
        </w:rPr>
        <w:t xml:space="preserve">nabídková cena </w:t>
      </w:r>
      <w:r>
        <w:rPr>
          <w:rFonts w:ascii="Calibri" w:hAnsi="Calibri"/>
        </w:rPr>
        <w:t xml:space="preserve">za 1 t svezeného a uloženého odpadu činí 4.930 </w:t>
      </w:r>
      <w:r w:rsidRPr="005A2861">
        <w:rPr>
          <w:rFonts w:ascii="Calibri" w:hAnsi="Calibri"/>
        </w:rPr>
        <w:t xml:space="preserve">Kč </w:t>
      </w:r>
      <w:r w:rsidRPr="00F96988">
        <w:rPr>
          <w:rFonts w:ascii="Calibri" w:hAnsi="Calibri"/>
        </w:rPr>
        <w:t>bez DPH</w:t>
      </w:r>
      <w:r>
        <w:rPr>
          <w:rFonts w:ascii="Calibri" w:hAnsi="Calibri"/>
        </w:rPr>
        <w:t>,</w:t>
      </w:r>
      <w:r w:rsidRPr="00100A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5.965,30 </w:t>
      </w:r>
      <w:r w:rsidRPr="005A2861">
        <w:rPr>
          <w:rFonts w:ascii="Calibri" w:hAnsi="Calibri"/>
        </w:rPr>
        <w:t xml:space="preserve">Kč </w:t>
      </w:r>
      <w:r w:rsidRPr="00735E86">
        <w:rPr>
          <w:rFonts w:ascii="Calibri" w:hAnsi="Calibri"/>
        </w:rPr>
        <w:t>s</w:t>
      </w:r>
      <w:r>
        <w:rPr>
          <w:rFonts w:ascii="Calibri" w:hAnsi="Calibri"/>
        </w:rPr>
        <w:t> </w:t>
      </w:r>
      <w:r w:rsidRPr="00F96988">
        <w:rPr>
          <w:rFonts w:ascii="Calibri" w:hAnsi="Calibri"/>
        </w:rPr>
        <w:t>DPH</w:t>
      </w:r>
      <w:r>
        <w:rPr>
          <w:rFonts w:ascii="Calibri" w:hAnsi="Calibri"/>
        </w:rPr>
        <w:t xml:space="preserve"> </w:t>
      </w:r>
      <w:r w:rsidRPr="00F969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F96988">
        <w:rPr>
          <w:rFonts w:ascii="Calibri" w:hAnsi="Calibri"/>
        </w:rPr>
        <w:t>%.</w:t>
      </w:r>
    </w:p>
    <w:p w14:paraId="106388AE" w14:textId="2C127DAE" w:rsidR="00607826" w:rsidRDefault="00607826" w:rsidP="00607826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331BDF">
        <w:rPr>
          <w:rFonts w:cs="Calibri"/>
          <w:szCs w:val="24"/>
        </w:rPr>
        <w:t>5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 w:rsidR="00331BDF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N/0Z</w:t>
      </w:r>
    </w:p>
    <w:p w14:paraId="0C1D7CE1" w14:textId="77777777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2CE11DC" w14:textId="01145435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Výběrové řízení na byt č. 494/10, ulice Lipová, Sezimovo Ústí (mat. č. 174/2024)</w:t>
      </w:r>
    </w:p>
    <w:p w14:paraId="4F2B1F2D" w14:textId="5EEE159C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457E454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1A5C29EB" w14:textId="77777777" w:rsidR="00607826" w:rsidRPr="00BA510C" w:rsidRDefault="00607826" w:rsidP="00607826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5CC0D012" w14:textId="1F9A96EF" w:rsidR="00607826" w:rsidRPr="00FD7F8E" w:rsidRDefault="00607826" w:rsidP="00607826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494/10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Lipová</w:t>
      </w:r>
      <w:r w:rsidRPr="00FD7F8E">
        <w:rPr>
          <w:sz w:val="24"/>
          <w:szCs w:val="24"/>
        </w:rPr>
        <w:t xml:space="preserve"> </w:t>
      </w:r>
      <w:r w:rsidR="00A71934">
        <w:rPr>
          <w:sz w:val="24"/>
          <w:szCs w:val="24"/>
        </w:rPr>
        <w:br/>
      </w:r>
      <w:r w:rsidRPr="00FD7F8E">
        <w:rPr>
          <w:sz w:val="24"/>
          <w:szCs w:val="24"/>
        </w:rPr>
        <w:t xml:space="preserve">č. p. </w:t>
      </w:r>
      <w:r>
        <w:rPr>
          <w:sz w:val="24"/>
          <w:szCs w:val="24"/>
        </w:rPr>
        <w:t>494,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2.184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62008C38" w14:textId="77777777" w:rsidR="00607826" w:rsidRDefault="00607826" w:rsidP="00607826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lastRenderedPageBreak/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2AF0A5DE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6901277" w14:textId="7CAA2CB4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Výběrové řízení na byt č. 602/02, ulice Lipová, Sezimovo Ústí (mat. č. 175/2024)</w:t>
      </w:r>
    </w:p>
    <w:p w14:paraId="059E530F" w14:textId="5503D7D8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5E51834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F3EB124" w14:textId="77777777" w:rsidR="00607826" w:rsidRPr="00BA510C" w:rsidRDefault="00607826" w:rsidP="00607826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331EA099" w14:textId="089D1ACE" w:rsidR="00607826" w:rsidRPr="00FD7F8E" w:rsidRDefault="00607826" w:rsidP="00607826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602/02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Lipová</w:t>
      </w:r>
      <w:r w:rsidRPr="00FD7F8E">
        <w:rPr>
          <w:sz w:val="24"/>
          <w:szCs w:val="24"/>
        </w:rPr>
        <w:t xml:space="preserve"> </w:t>
      </w:r>
      <w:r w:rsidR="00A71934">
        <w:rPr>
          <w:sz w:val="24"/>
          <w:szCs w:val="24"/>
        </w:rPr>
        <w:br/>
      </w:r>
      <w:r w:rsidRPr="00FD7F8E">
        <w:rPr>
          <w:sz w:val="24"/>
          <w:szCs w:val="24"/>
        </w:rPr>
        <w:t xml:space="preserve">č. p. </w:t>
      </w:r>
      <w:r>
        <w:rPr>
          <w:sz w:val="24"/>
          <w:szCs w:val="24"/>
        </w:rPr>
        <w:t>602,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2.163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4B595D78" w14:textId="77777777" w:rsidR="00607826" w:rsidRDefault="00607826" w:rsidP="00607826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BE813C5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1797AB4" w14:textId="35559010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Zřízení služebnosti inženýrské sítě a souhlas se stavbou – kanalizační přípojka</w:t>
      </w:r>
      <w:r w:rsidR="00636F8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07826">
        <w:rPr>
          <w:rFonts w:asciiTheme="minorHAnsi" w:hAnsiTheme="minorHAnsi" w:cstheme="minorHAnsi"/>
          <w:b/>
          <w:bCs/>
          <w:szCs w:val="24"/>
        </w:rPr>
        <w:t xml:space="preserve">(mat. </w:t>
      </w:r>
    </w:p>
    <w:p w14:paraId="40214EA6" w14:textId="3E63B091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č. 176/2024)</w:t>
      </w:r>
    </w:p>
    <w:p w14:paraId="27AD9732" w14:textId="2E305F69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179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98E1F26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CB71249" w14:textId="6FF6A708" w:rsidR="00331BDF" w:rsidRPr="00244949" w:rsidRDefault="00331BDF" w:rsidP="00331BD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5645581B" w14:textId="0E1A0B5C" w:rsidR="00331BDF" w:rsidRDefault="00331BDF" w:rsidP="00331BDF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kanalizační přípojka v délce cca 1,60 m </w:t>
      </w:r>
      <w:r w:rsidR="00A71934">
        <w:br/>
      </w:r>
      <w:r>
        <w:t xml:space="preserve">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822/1 – ostatní plocha, ostatní komunikace, </w:t>
      </w:r>
      <w:r>
        <w:t xml:space="preserve">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 xml:space="preserve">, </w:t>
      </w:r>
      <w:r>
        <w:t xml:space="preserve">jako služebnost pozemkovou, </w:t>
      </w:r>
      <w:r w:rsidRPr="007300E9">
        <w:t xml:space="preserve">ve prospěch </w:t>
      </w:r>
      <w:r>
        <w:t xml:space="preserve">pozemku č. </w:t>
      </w:r>
      <w:proofErr w:type="spellStart"/>
      <w:r>
        <w:t>parc</w:t>
      </w:r>
      <w:proofErr w:type="spellEnd"/>
      <w:r>
        <w:t xml:space="preserve">. 696/15 – zahrada, obec a k. </w:t>
      </w:r>
      <w:proofErr w:type="spellStart"/>
      <w:r>
        <w:t>ú.</w:t>
      </w:r>
      <w:proofErr w:type="spellEnd"/>
      <w:r>
        <w:t xml:space="preserve"> Sezimovo Ústí,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100 Kč/1 </w:t>
      </w:r>
      <w:proofErr w:type="spellStart"/>
      <w:r>
        <w:t>bm</w:t>
      </w:r>
      <w:proofErr w:type="spellEnd"/>
      <w:r>
        <w:t xml:space="preserve"> </w:t>
      </w:r>
      <w:r w:rsidRPr="00360613">
        <w:t>+ 21</w:t>
      </w:r>
      <w:r>
        <w:t xml:space="preserve"> </w:t>
      </w:r>
      <w:r w:rsidRPr="00360613">
        <w:t>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3D51D8A1" w14:textId="77777777" w:rsidR="00331BDF" w:rsidRPr="00244949" w:rsidRDefault="00331BDF" w:rsidP="00331BD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07F063A5" w14:textId="77777777" w:rsidR="00331BDF" w:rsidRDefault="00331BDF" w:rsidP="00A71934">
      <w:pPr>
        <w:jc w:val="both"/>
        <w:rPr>
          <w:szCs w:val="24"/>
        </w:rPr>
      </w:pPr>
      <w:r>
        <w:rPr>
          <w:szCs w:val="24"/>
        </w:rPr>
        <w:t xml:space="preserve">se stavbou </w:t>
      </w:r>
      <w:r w:rsidRPr="00055D33">
        <w:rPr>
          <w:rFonts w:asciiTheme="minorHAnsi" w:hAnsiTheme="minorHAnsi" w:cs="Calibri"/>
          <w:szCs w:val="24"/>
        </w:rPr>
        <w:t xml:space="preserve">„Kanalizační přípojka k pozemku </w:t>
      </w:r>
      <w:proofErr w:type="spellStart"/>
      <w:r w:rsidRPr="00055D33">
        <w:rPr>
          <w:rFonts w:asciiTheme="minorHAnsi" w:hAnsiTheme="minorHAnsi" w:cs="Calibri"/>
          <w:szCs w:val="24"/>
        </w:rPr>
        <w:t>parc.č</w:t>
      </w:r>
      <w:proofErr w:type="spellEnd"/>
      <w:r w:rsidRPr="00055D33">
        <w:rPr>
          <w:rFonts w:asciiTheme="minorHAnsi" w:hAnsiTheme="minorHAnsi" w:cs="Calibri"/>
          <w:szCs w:val="24"/>
        </w:rPr>
        <w:t>. 696/15, Sezimovo Ústí“</w:t>
      </w:r>
      <w:r>
        <w:rPr>
          <w:szCs w:val="24"/>
        </w:rPr>
        <w:t xml:space="preserve"> na pozemku</w:t>
      </w:r>
      <w:r w:rsidRPr="00823A43">
        <w:t xml:space="preserve"> </w:t>
      </w:r>
      <w:r>
        <w:t xml:space="preserve">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822/1 – ostatní plocha, ostatní komunikace, </w:t>
      </w:r>
      <w:r>
        <w:t xml:space="preserve">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kterém bude stavba realizována, a jehož vlastníkem je město Sezimovo Ústí.</w:t>
      </w:r>
    </w:p>
    <w:p w14:paraId="7DFDB8A1" w14:textId="77777777" w:rsidR="00607826" w:rsidRDefault="00607826" w:rsidP="00607826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717CBF04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8D313F7" w14:textId="5C7A0426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Projektová dokumentace „Lipová“ – dodatek č. 1 k </w:t>
      </w:r>
      <w:proofErr w:type="spellStart"/>
      <w:r w:rsidRPr="00607826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607826">
        <w:rPr>
          <w:rFonts w:asciiTheme="minorHAnsi" w:hAnsiTheme="minorHAnsi" w:cstheme="minorHAnsi"/>
          <w:b/>
          <w:bCs/>
          <w:szCs w:val="24"/>
        </w:rPr>
        <w:t xml:space="preserve"> (mat. č. 177/2024)</w:t>
      </w:r>
    </w:p>
    <w:p w14:paraId="3577544E" w14:textId="1DCCB0BF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DEA08B5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6EDDAD21" w14:textId="77777777" w:rsidR="00331BDF" w:rsidRDefault="00331BDF" w:rsidP="00331BD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Souhlasí</w:t>
      </w:r>
    </w:p>
    <w:p w14:paraId="4947C57F" w14:textId="77777777" w:rsidR="00331BDF" w:rsidRDefault="00331BDF" w:rsidP="00331BDF">
      <w:pPr>
        <w:keepNext/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 předloženými vícepracemi na akci</w:t>
      </w:r>
      <w:r w:rsidRPr="00550E0C">
        <w:t xml:space="preserve">: </w:t>
      </w:r>
      <w:r w:rsidRPr="00550E0C">
        <w:rPr>
          <w:rFonts w:cs="Calibri"/>
          <w:szCs w:val="24"/>
        </w:rPr>
        <w:t>„</w:t>
      </w:r>
      <w:r>
        <w:rPr>
          <w:rFonts w:cs="Calibri"/>
          <w:szCs w:val="24"/>
        </w:rPr>
        <w:t>Projektová dokumentace – Rekonstrukce komunikace, parkovacích ploch a chodníku ulice Lipová II v Sezimově Ústí</w:t>
      </w:r>
      <w:r w:rsidRPr="00550E0C">
        <w:rPr>
          <w:rFonts w:cs="Calibri"/>
          <w:szCs w:val="24"/>
        </w:rPr>
        <w:t xml:space="preserve">“ </w:t>
      </w:r>
      <w:r w:rsidRPr="00550E0C">
        <w:rPr>
          <w:snapToGrid w:val="0"/>
          <w:szCs w:val="24"/>
        </w:rPr>
        <w:t>d</w:t>
      </w:r>
      <w:r w:rsidRPr="00550E0C">
        <w:rPr>
          <w:szCs w:val="24"/>
          <w:lang w:eastAsia="en-US"/>
        </w:rPr>
        <w:t>le</w:t>
      </w:r>
      <w:r>
        <w:rPr>
          <w:szCs w:val="24"/>
          <w:lang w:eastAsia="en-US"/>
        </w:rPr>
        <w:t xml:space="preserve"> cenové nabídky, v hodnotě</w:t>
      </w:r>
      <w:r>
        <w:rPr>
          <w:szCs w:val="24"/>
          <w:lang w:eastAsia="en-US"/>
        </w:rPr>
        <w:br/>
        <w:t xml:space="preserve">12.500 Kč </w:t>
      </w:r>
      <w:r>
        <w:rPr>
          <w:szCs w:val="24"/>
        </w:rPr>
        <w:t>bez DPH resp. 15.125 Kč s DPH.</w:t>
      </w:r>
    </w:p>
    <w:p w14:paraId="61707260" w14:textId="77777777" w:rsidR="00331BDF" w:rsidRDefault="00331BDF" w:rsidP="00331BD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Schvaluje</w:t>
      </w:r>
    </w:p>
    <w:p w14:paraId="31E0B387" w14:textId="18327695" w:rsidR="00331BDF" w:rsidRPr="005A4E5B" w:rsidRDefault="00331BDF" w:rsidP="00331BDF">
      <w:pPr>
        <w:keepNext/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uzavření dodatku č. 1 ke smlouvě o dílo na </w:t>
      </w:r>
      <w:r w:rsidRPr="00550E0C">
        <w:rPr>
          <w:rFonts w:cs="Calibri"/>
          <w:szCs w:val="24"/>
        </w:rPr>
        <w:t>akci: „</w:t>
      </w:r>
      <w:r>
        <w:rPr>
          <w:rFonts w:cs="Calibri"/>
          <w:szCs w:val="24"/>
        </w:rPr>
        <w:t xml:space="preserve">Rekonstrukce komunikace, parkovacích ploch </w:t>
      </w:r>
      <w:r w:rsidR="00A71934">
        <w:rPr>
          <w:rFonts w:cs="Calibri"/>
          <w:szCs w:val="24"/>
        </w:rPr>
        <w:br/>
      </w:r>
      <w:r>
        <w:rPr>
          <w:rFonts w:cs="Calibri"/>
          <w:szCs w:val="24"/>
        </w:rPr>
        <w:t xml:space="preserve">a chodníku ulice Lipová </w:t>
      </w:r>
      <w:r w:rsidRPr="005A4E5B">
        <w:rPr>
          <w:szCs w:val="24"/>
        </w:rPr>
        <w:t>II v Sezimově Ústí“ se zhotovitelem: Ing. Pavl</w:t>
      </w:r>
      <w:r>
        <w:rPr>
          <w:szCs w:val="24"/>
        </w:rPr>
        <w:t>em</w:t>
      </w:r>
      <w:r w:rsidRPr="005A4E5B">
        <w:rPr>
          <w:szCs w:val="24"/>
        </w:rPr>
        <w:t xml:space="preserve"> Mizer</w:t>
      </w:r>
      <w:r>
        <w:rPr>
          <w:szCs w:val="24"/>
        </w:rPr>
        <w:t xml:space="preserve">ou, IČ: </w:t>
      </w:r>
      <w:r w:rsidRPr="005A4E5B">
        <w:rPr>
          <w:szCs w:val="24"/>
        </w:rPr>
        <w:t>183 24</w:t>
      </w:r>
      <w:r>
        <w:rPr>
          <w:szCs w:val="24"/>
        </w:rPr>
        <w:t> </w:t>
      </w:r>
      <w:r w:rsidRPr="005A4E5B">
        <w:rPr>
          <w:szCs w:val="24"/>
        </w:rPr>
        <w:t>568</w:t>
      </w:r>
      <w:r>
        <w:rPr>
          <w:szCs w:val="24"/>
        </w:rPr>
        <w:t xml:space="preserve">, </w:t>
      </w:r>
      <w:r w:rsidRPr="005A4E5B">
        <w:rPr>
          <w:szCs w:val="24"/>
        </w:rPr>
        <w:t>sídlem: Vídeňská 2775, 390 05 Tábor</w:t>
      </w:r>
      <w:r w:rsidRPr="00B70384">
        <w:rPr>
          <w:rFonts w:cs="Calibri"/>
          <w:szCs w:val="24"/>
        </w:rPr>
        <w:t xml:space="preserve">, jehož předmětem je navýšení ceny díla v návaznosti na požadované </w:t>
      </w:r>
      <w:r>
        <w:rPr>
          <w:rFonts w:cs="Calibri"/>
          <w:szCs w:val="24"/>
        </w:rPr>
        <w:t xml:space="preserve">přepracování projektu o 12.500 </w:t>
      </w:r>
      <w:r>
        <w:rPr>
          <w:szCs w:val="24"/>
          <w:lang w:eastAsia="en-US"/>
        </w:rPr>
        <w:t xml:space="preserve">Kč </w:t>
      </w:r>
      <w:r>
        <w:rPr>
          <w:szCs w:val="24"/>
        </w:rPr>
        <w:t>bez DPH, resp. o 15.125 Kč s DPH</w:t>
      </w:r>
      <w:r w:rsidRPr="00B70384">
        <w:rPr>
          <w:rFonts w:cs="Calibri"/>
          <w:szCs w:val="24"/>
        </w:rPr>
        <w:t>, kdy nová cena</w:t>
      </w:r>
      <w:r>
        <w:rPr>
          <w:szCs w:val="24"/>
        </w:rPr>
        <w:t xml:space="preserve"> za dílo činí 97.000 Kč bez DPH, 117.370</w:t>
      </w:r>
      <w:r>
        <w:rPr>
          <w:bCs/>
          <w:szCs w:val="24"/>
        </w:rPr>
        <w:t xml:space="preserve"> </w:t>
      </w:r>
      <w:r>
        <w:rPr>
          <w:bCs/>
          <w:snapToGrid w:val="0"/>
          <w:szCs w:val="24"/>
        </w:rPr>
        <w:t>Kč</w:t>
      </w:r>
      <w:r>
        <w:rPr>
          <w:szCs w:val="24"/>
        </w:rPr>
        <w:t xml:space="preserve"> s DPH.</w:t>
      </w:r>
    </w:p>
    <w:p w14:paraId="418FB530" w14:textId="77777777" w:rsidR="00607826" w:rsidRDefault="00607826" w:rsidP="00607826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001268CF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4B1C685" w14:textId="7CD31FA0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Nájemní smlouva – kamerový bod (mat. č. 178/2024)</w:t>
      </w:r>
    </w:p>
    <w:p w14:paraId="03A92F5E" w14:textId="5777DF5F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C8AEAB7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F5F3D1E" w14:textId="77777777" w:rsidR="00331BDF" w:rsidRPr="007D02C1" w:rsidRDefault="00331BDF" w:rsidP="00331BDF">
      <w:pPr>
        <w:jc w:val="both"/>
        <w:rPr>
          <w:rFonts w:cs="Calibri"/>
          <w:b/>
          <w:szCs w:val="24"/>
        </w:rPr>
      </w:pPr>
      <w:r w:rsidRPr="00331BDF">
        <w:rPr>
          <w:rFonts w:cs="Calibri"/>
          <w:b/>
          <w:szCs w:val="24"/>
        </w:rPr>
        <w:t xml:space="preserve">I. Schvaluje </w:t>
      </w:r>
    </w:p>
    <w:p w14:paraId="53B86D35" w14:textId="084624CB" w:rsidR="00331BDF" w:rsidRPr="00D64A62" w:rsidRDefault="00331BDF" w:rsidP="00331BDF">
      <w:pPr>
        <w:jc w:val="both"/>
        <w:rPr>
          <w:szCs w:val="24"/>
        </w:rPr>
      </w:pPr>
      <w:r>
        <w:rPr>
          <w:szCs w:val="24"/>
        </w:rPr>
        <w:t xml:space="preserve">uzavření nájemního vztahu na část </w:t>
      </w:r>
      <w:r w:rsidRPr="00551297">
        <w:rPr>
          <w:szCs w:val="24"/>
        </w:rPr>
        <w:t xml:space="preserve">budovy čp. 673, stojící na pozemku </w:t>
      </w:r>
      <w:proofErr w:type="spellStart"/>
      <w:r w:rsidRPr="00551297">
        <w:rPr>
          <w:szCs w:val="24"/>
        </w:rPr>
        <w:t>parc.č</w:t>
      </w:r>
      <w:proofErr w:type="spellEnd"/>
      <w:r w:rsidRPr="00551297">
        <w:rPr>
          <w:szCs w:val="24"/>
        </w:rPr>
        <w:t>. st. 1714/3,</w:t>
      </w:r>
      <w:r>
        <w:rPr>
          <w:szCs w:val="24"/>
        </w:rPr>
        <w:br/>
      </w:r>
      <w:r w:rsidRPr="00551297">
        <w:rPr>
          <w:szCs w:val="24"/>
        </w:rPr>
        <w:t xml:space="preserve">LV č. 3026, obec a </w:t>
      </w:r>
      <w:proofErr w:type="spellStart"/>
      <w:r w:rsidRPr="00551297">
        <w:rPr>
          <w:szCs w:val="24"/>
        </w:rPr>
        <w:t>k.ú</w:t>
      </w:r>
      <w:proofErr w:type="spellEnd"/>
      <w:r w:rsidRPr="00551297">
        <w:rPr>
          <w:szCs w:val="24"/>
        </w:rPr>
        <w:t>. Sezimovo Ústí, za účelem umístění kamerového bodu, mezi městem Sezimovo Ústí</w:t>
      </w:r>
      <w:r>
        <w:rPr>
          <w:szCs w:val="24"/>
        </w:rPr>
        <w:t>,</w:t>
      </w:r>
      <w:r w:rsidRPr="00551297">
        <w:rPr>
          <w:szCs w:val="24"/>
        </w:rPr>
        <w:t xml:space="preserve"> jako nájemcem, a Společenstvím vlastníků jednotek domu č.p. 673, Sezimovo Ústí 2, </w:t>
      </w:r>
      <w:r w:rsidR="00A71934">
        <w:rPr>
          <w:szCs w:val="24"/>
        </w:rPr>
        <w:br/>
      </w:r>
      <w:r w:rsidRPr="00551297">
        <w:rPr>
          <w:szCs w:val="24"/>
        </w:rPr>
        <w:t xml:space="preserve">IČ: 281 39 119, se sídlem: Dukelská 673, 391 02 Sezimovo Ústí, </w:t>
      </w:r>
      <w:proofErr w:type="spellStart"/>
      <w:r w:rsidRPr="00551297">
        <w:rPr>
          <w:szCs w:val="24"/>
        </w:rPr>
        <w:t>zast</w:t>
      </w:r>
      <w:proofErr w:type="spellEnd"/>
      <w:r w:rsidRPr="00551297">
        <w:rPr>
          <w:szCs w:val="24"/>
        </w:rPr>
        <w:t xml:space="preserve">. p. </w:t>
      </w:r>
      <w:r w:rsidR="00636F8D">
        <w:rPr>
          <w:szCs w:val="24"/>
        </w:rPr>
        <w:t>J. N.</w:t>
      </w:r>
      <w:r w:rsidRPr="00551297">
        <w:rPr>
          <w:szCs w:val="24"/>
        </w:rPr>
        <w:t xml:space="preserve">, předsedou, a Ing. </w:t>
      </w:r>
      <w:r w:rsidR="00636F8D">
        <w:rPr>
          <w:szCs w:val="24"/>
        </w:rPr>
        <w:t>B., B.</w:t>
      </w:r>
      <w:r w:rsidRPr="00551297">
        <w:rPr>
          <w:szCs w:val="24"/>
        </w:rPr>
        <w:t xml:space="preserve">, místopředsedou výboru, na dobou neurčitou, za roční nájemné ve výši 5.000 Kč, </w:t>
      </w:r>
      <w:r>
        <w:rPr>
          <w:szCs w:val="24"/>
        </w:rPr>
        <w:t>vše v intencích přiložené nájemní smlouvy.</w:t>
      </w:r>
    </w:p>
    <w:p w14:paraId="6AD3A9F1" w14:textId="02803579" w:rsidR="00607826" w:rsidRDefault="00607826" w:rsidP="00607826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331BDF">
        <w:rPr>
          <w:rFonts w:cs="Calibri"/>
          <w:szCs w:val="24"/>
        </w:rPr>
        <w:t>5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 w:rsidR="00331BDF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08609281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319A35A" w14:textId="255CA8B8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Závěrečný účet a účetní závěrka města Sezimovo Ústí za r. 2023 (mat. č. 179/2024)</w:t>
      </w:r>
    </w:p>
    <w:p w14:paraId="3B01B10F" w14:textId="2B4C48D5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AF263D1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1E33300" w14:textId="7DE94983" w:rsidR="00331BDF" w:rsidRPr="00400B64" w:rsidRDefault="00331BDF" w:rsidP="00331BD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</w:t>
      </w:r>
      <w:r w:rsidRPr="00400B64">
        <w:rPr>
          <w:rFonts w:cs="Calibri"/>
          <w:b/>
          <w:szCs w:val="24"/>
        </w:rPr>
        <w:t xml:space="preserve">Předkládá </w:t>
      </w:r>
    </w:p>
    <w:p w14:paraId="24285800" w14:textId="77777777" w:rsidR="00331BDF" w:rsidRPr="00400B64" w:rsidRDefault="00331BDF" w:rsidP="00331BDF">
      <w:pPr>
        <w:jc w:val="both"/>
        <w:rPr>
          <w:rFonts w:cs="Calibri"/>
          <w:szCs w:val="24"/>
          <w:u w:val="single"/>
        </w:rPr>
      </w:pPr>
      <w:r w:rsidRPr="00400B64">
        <w:rPr>
          <w:rFonts w:cs="Calibri"/>
          <w:szCs w:val="24"/>
        </w:rPr>
        <w:t>ZM Sezimovo Ústí ke schválení</w:t>
      </w:r>
    </w:p>
    <w:p w14:paraId="35181C4F" w14:textId="3BC9A23B" w:rsidR="00331BDF" w:rsidRPr="00A71934" w:rsidRDefault="00A71934" w:rsidP="00331BDF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1</w:t>
      </w:r>
      <w:r w:rsidR="00331BDF" w:rsidRPr="00A71934">
        <w:rPr>
          <w:rFonts w:cs="Calibri"/>
          <w:bCs/>
          <w:szCs w:val="24"/>
        </w:rPr>
        <w:t>. Závěrečný účet města Sezimovo Ústí za r. 2023;</w:t>
      </w:r>
    </w:p>
    <w:p w14:paraId="7ABCEF5E" w14:textId="123013B2" w:rsidR="00331BDF" w:rsidRPr="00400B64" w:rsidRDefault="00A71934" w:rsidP="00331BDF">
      <w:pPr>
        <w:jc w:val="both"/>
        <w:rPr>
          <w:rFonts w:cs="Calibri"/>
          <w:b/>
          <w:i/>
          <w:smallCaps/>
          <w:szCs w:val="24"/>
          <w:u w:val="single"/>
        </w:rPr>
      </w:pPr>
      <w:r>
        <w:rPr>
          <w:rFonts w:cs="Calibri"/>
          <w:bCs/>
          <w:szCs w:val="24"/>
        </w:rPr>
        <w:t>2</w:t>
      </w:r>
      <w:r w:rsidR="00331BDF" w:rsidRPr="00A71934">
        <w:rPr>
          <w:rFonts w:cs="Calibri"/>
          <w:bCs/>
          <w:szCs w:val="24"/>
        </w:rPr>
        <w:t>. Účetní</w:t>
      </w:r>
      <w:r w:rsidR="00331BDF" w:rsidRPr="00400B64">
        <w:rPr>
          <w:rFonts w:cs="Calibri"/>
          <w:szCs w:val="24"/>
        </w:rPr>
        <w:t xml:space="preserve"> závěrku města Sezimovo Ústí za r. 2023.</w:t>
      </w:r>
    </w:p>
    <w:p w14:paraId="2FCDD896" w14:textId="77777777" w:rsidR="00607826" w:rsidRDefault="00607826" w:rsidP="00607826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7E94F6B1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99C6EAA" w14:textId="7BDD5BDD" w:rsid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07826">
        <w:rPr>
          <w:rFonts w:asciiTheme="minorHAnsi" w:hAnsiTheme="minorHAnsi" w:cstheme="minorHAnsi"/>
          <w:b/>
          <w:bCs/>
          <w:szCs w:val="24"/>
        </w:rPr>
        <w:t>Úprava termínu pro schvalování účetní závěrky PO (mat. č. 180/2024)</w:t>
      </w:r>
    </w:p>
    <w:p w14:paraId="2F606060" w14:textId="2C4C7108" w:rsidR="00607826" w:rsidRPr="003D7B04" w:rsidRDefault="00607826" w:rsidP="00607826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183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F5E1D04" w14:textId="77777777" w:rsidR="00607826" w:rsidRDefault="00607826" w:rsidP="0060782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73C6BBA7" w14:textId="77777777" w:rsidR="00331BDF" w:rsidRPr="007812B0" w:rsidRDefault="00331BDF" w:rsidP="00331BDF">
      <w:pPr>
        <w:jc w:val="both"/>
        <w:rPr>
          <w:rFonts w:cs="Calibri"/>
          <w:b/>
          <w:szCs w:val="24"/>
        </w:rPr>
      </w:pPr>
      <w:r w:rsidRPr="007812B0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  <w:r w:rsidRPr="007812B0">
        <w:rPr>
          <w:rFonts w:cs="Calibri"/>
          <w:b/>
          <w:szCs w:val="24"/>
        </w:rPr>
        <w:t xml:space="preserve"> </w:t>
      </w:r>
    </w:p>
    <w:p w14:paraId="2A19DD4C" w14:textId="77777777" w:rsidR="00331BDF" w:rsidRDefault="00331BDF" w:rsidP="00331BDF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se změnou termínu pro schvalování účetní závěrky zřizovaných příspěvkových organizací za r. 2023, kdy se lhůta pro schvalování prodlužuje do 31.05.2024.</w:t>
      </w:r>
    </w:p>
    <w:p w14:paraId="2A8EDB1F" w14:textId="6FC0CA8F" w:rsidR="00607826" w:rsidRDefault="00607826" w:rsidP="00607826">
      <w:pPr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331BDF">
        <w:rPr>
          <w:rFonts w:cs="Calibri"/>
          <w:szCs w:val="24"/>
        </w:rPr>
        <w:t>5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 w:rsidR="00331BDF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5AE5D3EF" w14:textId="77777777" w:rsidR="00607826" w:rsidRPr="00607826" w:rsidRDefault="00607826" w:rsidP="0060782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36C3AE4" w14:textId="77777777" w:rsidR="00607826" w:rsidRPr="00607826" w:rsidRDefault="00607826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646E9ED" w14:textId="77777777" w:rsidR="00BB5111" w:rsidRPr="00BB5111" w:rsidRDefault="00BB5111" w:rsidP="00BB511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AF54888" w14:textId="77777777" w:rsidR="00BB5111" w:rsidRPr="00687C1B" w:rsidRDefault="00BB5111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08112DA" w14:textId="77777777" w:rsidR="009A72D3" w:rsidRDefault="009A72D3" w:rsidP="008D19DF">
      <w:pPr>
        <w:contextualSpacing/>
        <w:jc w:val="both"/>
        <w:rPr>
          <w:rFonts w:cs="Calibri"/>
          <w:szCs w:val="24"/>
        </w:rPr>
      </w:pPr>
    </w:p>
    <w:p w14:paraId="3F1E0295" w14:textId="77777777" w:rsidR="009A72D3" w:rsidRDefault="009A72D3" w:rsidP="008D19DF">
      <w:pPr>
        <w:contextualSpacing/>
        <w:jc w:val="both"/>
        <w:rPr>
          <w:rFonts w:cs="Calibri"/>
          <w:szCs w:val="24"/>
        </w:rPr>
      </w:pPr>
    </w:p>
    <w:p w14:paraId="72D34D08" w14:textId="77777777" w:rsidR="00192CD0" w:rsidRDefault="00192CD0" w:rsidP="008D19DF">
      <w:pPr>
        <w:contextualSpacing/>
        <w:jc w:val="both"/>
        <w:rPr>
          <w:rFonts w:cs="Calibri"/>
          <w:szCs w:val="24"/>
        </w:rPr>
      </w:pPr>
    </w:p>
    <w:p w14:paraId="24F686A5" w14:textId="77777777" w:rsidR="00192CD0" w:rsidRPr="003D7B04" w:rsidRDefault="00192CD0" w:rsidP="008D19DF">
      <w:pPr>
        <w:contextualSpacing/>
        <w:jc w:val="both"/>
        <w:rPr>
          <w:rFonts w:cs="Calibri"/>
          <w:szCs w:val="24"/>
        </w:rPr>
      </w:pPr>
    </w:p>
    <w:p w14:paraId="0AB8E3F4" w14:textId="5582CF3B" w:rsidR="0090185C" w:rsidRDefault="00C82849" w:rsidP="008D19DF">
      <w:pPr>
        <w:contextualSpacing/>
        <w:jc w:val="both"/>
        <w:rPr>
          <w:rFonts w:cs="Calibri"/>
          <w:szCs w:val="24"/>
        </w:rPr>
      </w:pPr>
      <w:bookmarkStart w:id="0" w:name="_Hlk159401587"/>
      <w:r>
        <w:rPr>
          <w:rFonts w:cs="Calibri"/>
          <w:szCs w:val="24"/>
        </w:rPr>
        <w:t>Mgr. Hana Hemerková</w:t>
      </w:r>
      <w:r w:rsidR="00D95016">
        <w:rPr>
          <w:rFonts w:cs="Calibri"/>
          <w:szCs w:val="24"/>
        </w:rPr>
        <w:t xml:space="preserve"> v. r.</w:t>
      </w:r>
      <w:r w:rsidR="00E03895">
        <w:rPr>
          <w:rFonts w:cs="Calibri"/>
          <w:szCs w:val="24"/>
        </w:rPr>
        <w:tab/>
      </w:r>
      <w:r w:rsidR="00E03895">
        <w:rPr>
          <w:rFonts w:cs="Calibri"/>
          <w:szCs w:val="24"/>
        </w:rPr>
        <w:tab/>
      </w:r>
      <w:r w:rsidR="00E03895">
        <w:rPr>
          <w:rFonts w:cs="Calibri"/>
          <w:szCs w:val="24"/>
        </w:rPr>
        <w:tab/>
      </w:r>
      <w:r w:rsidR="00E03895">
        <w:rPr>
          <w:rFonts w:cs="Calibri"/>
          <w:szCs w:val="24"/>
        </w:rPr>
        <w:tab/>
      </w:r>
      <w:r w:rsidR="00E03895">
        <w:rPr>
          <w:rFonts w:cs="Calibri"/>
          <w:szCs w:val="24"/>
        </w:rPr>
        <w:tab/>
      </w:r>
      <w:r w:rsidR="00E03895">
        <w:rPr>
          <w:rFonts w:cs="Calibri"/>
          <w:szCs w:val="24"/>
        </w:rPr>
        <w:tab/>
      </w:r>
      <w:r w:rsidR="00E03895">
        <w:rPr>
          <w:rFonts w:cs="Calibri"/>
          <w:szCs w:val="24"/>
        </w:rPr>
        <w:tab/>
        <w:t xml:space="preserve">Libor </w:t>
      </w:r>
      <w:proofErr w:type="spellStart"/>
      <w:r w:rsidR="00E03895">
        <w:rPr>
          <w:rFonts w:cs="Calibri"/>
          <w:szCs w:val="24"/>
        </w:rPr>
        <w:t>Borč</w:t>
      </w:r>
      <w:proofErr w:type="spellEnd"/>
      <w:r w:rsidR="00D95016">
        <w:rPr>
          <w:rFonts w:cs="Calibri"/>
          <w:szCs w:val="24"/>
        </w:rPr>
        <w:t xml:space="preserve"> v. r.</w:t>
      </w:r>
    </w:p>
    <w:p w14:paraId="25DA4EAC" w14:textId="4555D3BD" w:rsidR="00D12567" w:rsidRDefault="00D12567" w:rsidP="008D19DF">
      <w:pPr>
        <w:contextualSpacing/>
        <w:jc w:val="both"/>
      </w:pPr>
      <w:r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Pr="003D7B04">
        <w:rPr>
          <w:rFonts w:cs="Calibri"/>
          <w:szCs w:val="24"/>
        </w:rPr>
        <w:t>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0"/>
      <w:r w:rsidR="00E03895">
        <w:rPr>
          <w:rFonts w:cs="Calibri"/>
          <w:szCs w:val="24"/>
        </w:rPr>
        <w:t>člen RM</w:t>
      </w:r>
      <w:r w:rsidR="00192CD0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60B66"/>
    <w:multiLevelType w:val="hybridMultilevel"/>
    <w:tmpl w:val="B4CC9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121"/>
    <w:multiLevelType w:val="hybridMultilevel"/>
    <w:tmpl w:val="2ADA715C"/>
    <w:lvl w:ilvl="0" w:tplc="AF50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62A2A"/>
    <w:multiLevelType w:val="hybridMultilevel"/>
    <w:tmpl w:val="4BC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4"/>
  </w:num>
  <w:num w:numId="5" w16cid:durableId="700592238">
    <w:abstractNumId w:val="22"/>
  </w:num>
  <w:num w:numId="6" w16cid:durableId="821390463">
    <w:abstractNumId w:val="19"/>
  </w:num>
  <w:num w:numId="7" w16cid:durableId="1736397533">
    <w:abstractNumId w:val="26"/>
  </w:num>
  <w:num w:numId="8" w16cid:durableId="109014148">
    <w:abstractNumId w:val="27"/>
  </w:num>
  <w:num w:numId="9" w16cid:durableId="39941673">
    <w:abstractNumId w:val="24"/>
  </w:num>
  <w:num w:numId="10" w16cid:durableId="394276919">
    <w:abstractNumId w:val="5"/>
  </w:num>
  <w:num w:numId="11" w16cid:durableId="395205823">
    <w:abstractNumId w:val="13"/>
  </w:num>
  <w:num w:numId="12" w16cid:durableId="1336348092">
    <w:abstractNumId w:val="8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5"/>
  </w:num>
  <w:num w:numId="16" w16cid:durableId="1680499765">
    <w:abstractNumId w:val="15"/>
  </w:num>
  <w:num w:numId="17" w16cid:durableId="1140462424">
    <w:abstractNumId w:val="3"/>
  </w:num>
  <w:num w:numId="18" w16cid:durableId="959727542">
    <w:abstractNumId w:val="6"/>
  </w:num>
  <w:num w:numId="19" w16cid:durableId="1310207854">
    <w:abstractNumId w:val="28"/>
  </w:num>
  <w:num w:numId="20" w16cid:durableId="1009482742">
    <w:abstractNumId w:val="12"/>
  </w:num>
  <w:num w:numId="21" w16cid:durableId="512841766">
    <w:abstractNumId w:val="4"/>
  </w:num>
  <w:num w:numId="22" w16cid:durableId="2101444387">
    <w:abstractNumId w:val="23"/>
  </w:num>
  <w:num w:numId="23" w16cid:durableId="1597669051">
    <w:abstractNumId w:val="7"/>
  </w:num>
  <w:num w:numId="24" w16cid:durableId="489442019">
    <w:abstractNumId w:val="21"/>
  </w:num>
  <w:num w:numId="25" w16cid:durableId="1346445468">
    <w:abstractNumId w:val="2"/>
  </w:num>
  <w:num w:numId="26" w16cid:durableId="1735203636">
    <w:abstractNumId w:val="10"/>
  </w:num>
  <w:num w:numId="27" w16cid:durableId="1296957564">
    <w:abstractNumId w:val="9"/>
  </w:num>
  <w:num w:numId="28" w16cid:durableId="1729648474">
    <w:abstractNumId w:val="18"/>
  </w:num>
  <w:num w:numId="29" w16cid:durableId="320431624">
    <w:abstractNumId w:val="11"/>
  </w:num>
  <w:num w:numId="30" w16cid:durableId="2214056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01C2A"/>
    <w:rsid w:val="00011600"/>
    <w:rsid w:val="000123B3"/>
    <w:rsid w:val="000158B3"/>
    <w:rsid w:val="000346E1"/>
    <w:rsid w:val="00035B26"/>
    <w:rsid w:val="00043792"/>
    <w:rsid w:val="0004462A"/>
    <w:rsid w:val="00094611"/>
    <w:rsid w:val="000D596F"/>
    <w:rsid w:val="000D7CC6"/>
    <w:rsid w:val="000E1C7F"/>
    <w:rsid w:val="000F5EBE"/>
    <w:rsid w:val="001044D6"/>
    <w:rsid w:val="00122359"/>
    <w:rsid w:val="001733F0"/>
    <w:rsid w:val="00181FB5"/>
    <w:rsid w:val="00184072"/>
    <w:rsid w:val="00192CD0"/>
    <w:rsid w:val="001A6C3A"/>
    <w:rsid w:val="001B435A"/>
    <w:rsid w:val="001B7CF7"/>
    <w:rsid w:val="001C04B4"/>
    <w:rsid w:val="001C1A82"/>
    <w:rsid w:val="001C54C9"/>
    <w:rsid w:val="001D33B2"/>
    <w:rsid w:val="001E0932"/>
    <w:rsid w:val="00200890"/>
    <w:rsid w:val="00204167"/>
    <w:rsid w:val="00212537"/>
    <w:rsid w:val="00216C3E"/>
    <w:rsid w:val="00221933"/>
    <w:rsid w:val="00223ED2"/>
    <w:rsid w:val="00225219"/>
    <w:rsid w:val="00230FD2"/>
    <w:rsid w:val="00234162"/>
    <w:rsid w:val="002343A1"/>
    <w:rsid w:val="00234AEF"/>
    <w:rsid w:val="00253B48"/>
    <w:rsid w:val="00257CAA"/>
    <w:rsid w:val="00263837"/>
    <w:rsid w:val="0026444F"/>
    <w:rsid w:val="002651A3"/>
    <w:rsid w:val="002767C6"/>
    <w:rsid w:val="00281F85"/>
    <w:rsid w:val="00286B75"/>
    <w:rsid w:val="00287AFC"/>
    <w:rsid w:val="00290816"/>
    <w:rsid w:val="002947F6"/>
    <w:rsid w:val="002976CC"/>
    <w:rsid w:val="002A3D7B"/>
    <w:rsid w:val="002B1CF5"/>
    <w:rsid w:val="002B2393"/>
    <w:rsid w:val="002C051F"/>
    <w:rsid w:val="002C2C32"/>
    <w:rsid w:val="002C6510"/>
    <w:rsid w:val="002E1B1B"/>
    <w:rsid w:val="00301240"/>
    <w:rsid w:val="0031749E"/>
    <w:rsid w:val="00324FE2"/>
    <w:rsid w:val="00331BDF"/>
    <w:rsid w:val="00332937"/>
    <w:rsid w:val="00344BCA"/>
    <w:rsid w:val="003647EF"/>
    <w:rsid w:val="003651ED"/>
    <w:rsid w:val="003905C7"/>
    <w:rsid w:val="00394A3F"/>
    <w:rsid w:val="00394D50"/>
    <w:rsid w:val="003A141A"/>
    <w:rsid w:val="003B45FF"/>
    <w:rsid w:val="003B7F68"/>
    <w:rsid w:val="003C5EE6"/>
    <w:rsid w:val="003D4FC6"/>
    <w:rsid w:val="00406FDC"/>
    <w:rsid w:val="0045011E"/>
    <w:rsid w:val="00474E2A"/>
    <w:rsid w:val="0047642D"/>
    <w:rsid w:val="004A2567"/>
    <w:rsid w:val="004A3531"/>
    <w:rsid w:val="004A4F49"/>
    <w:rsid w:val="004B012B"/>
    <w:rsid w:val="004B04CE"/>
    <w:rsid w:val="004B2631"/>
    <w:rsid w:val="004D69D9"/>
    <w:rsid w:val="004E064A"/>
    <w:rsid w:val="004E78DC"/>
    <w:rsid w:val="004F69F4"/>
    <w:rsid w:val="005076F4"/>
    <w:rsid w:val="005115AA"/>
    <w:rsid w:val="00511F49"/>
    <w:rsid w:val="00520EB4"/>
    <w:rsid w:val="0053429B"/>
    <w:rsid w:val="00534F5B"/>
    <w:rsid w:val="0054345F"/>
    <w:rsid w:val="00547C33"/>
    <w:rsid w:val="00547FE6"/>
    <w:rsid w:val="00557714"/>
    <w:rsid w:val="005706E0"/>
    <w:rsid w:val="005747EA"/>
    <w:rsid w:val="005B4B60"/>
    <w:rsid w:val="005D682B"/>
    <w:rsid w:val="005F389F"/>
    <w:rsid w:val="00606077"/>
    <w:rsid w:val="00607826"/>
    <w:rsid w:val="00610C19"/>
    <w:rsid w:val="006113CC"/>
    <w:rsid w:val="00611401"/>
    <w:rsid w:val="0062247D"/>
    <w:rsid w:val="00636F8D"/>
    <w:rsid w:val="00662DA6"/>
    <w:rsid w:val="00663029"/>
    <w:rsid w:val="00680129"/>
    <w:rsid w:val="00687C1B"/>
    <w:rsid w:val="00692341"/>
    <w:rsid w:val="006929F6"/>
    <w:rsid w:val="006A3311"/>
    <w:rsid w:val="006E4F6C"/>
    <w:rsid w:val="006E6CC1"/>
    <w:rsid w:val="006F39B7"/>
    <w:rsid w:val="006F4565"/>
    <w:rsid w:val="006F7C0E"/>
    <w:rsid w:val="00705F3E"/>
    <w:rsid w:val="00706241"/>
    <w:rsid w:val="00706E78"/>
    <w:rsid w:val="00723FCA"/>
    <w:rsid w:val="00752227"/>
    <w:rsid w:val="0079536E"/>
    <w:rsid w:val="007A2D83"/>
    <w:rsid w:val="007B1109"/>
    <w:rsid w:val="007D04AD"/>
    <w:rsid w:val="007E3379"/>
    <w:rsid w:val="00806482"/>
    <w:rsid w:val="00821541"/>
    <w:rsid w:val="0082424A"/>
    <w:rsid w:val="00844F88"/>
    <w:rsid w:val="0085733D"/>
    <w:rsid w:val="008B6939"/>
    <w:rsid w:val="008C564B"/>
    <w:rsid w:val="008D19DF"/>
    <w:rsid w:val="008E2ED4"/>
    <w:rsid w:val="008E40BE"/>
    <w:rsid w:val="008E69E9"/>
    <w:rsid w:val="008F44EB"/>
    <w:rsid w:val="0090185C"/>
    <w:rsid w:val="009043D8"/>
    <w:rsid w:val="00924690"/>
    <w:rsid w:val="009318D6"/>
    <w:rsid w:val="009432BF"/>
    <w:rsid w:val="00946D35"/>
    <w:rsid w:val="009540DF"/>
    <w:rsid w:val="009651B2"/>
    <w:rsid w:val="0097111D"/>
    <w:rsid w:val="00971D10"/>
    <w:rsid w:val="009738FB"/>
    <w:rsid w:val="00976933"/>
    <w:rsid w:val="00977A18"/>
    <w:rsid w:val="009933D8"/>
    <w:rsid w:val="009A72D3"/>
    <w:rsid w:val="009B0C57"/>
    <w:rsid w:val="009D37CD"/>
    <w:rsid w:val="009E79DC"/>
    <w:rsid w:val="009F738B"/>
    <w:rsid w:val="00A2072D"/>
    <w:rsid w:val="00A32218"/>
    <w:rsid w:val="00A4168D"/>
    <w:rsid w:val="00A42E97"/>
    <w:rsid w:val="00A50ADD"/>
    <w:rsid w:val="00A66D9E"/>
    <w:rsid w:val="00A71934"/>
    <w:rsid w:val="00A7493B"/>
    <w:rsid w:val="00A926D0"/>
    <w:rsid w:val="00AA2FD9"/>
    <w:rsid w:val="00AA3ABD"/>
    <w:rsid w:val="00AC4860"/>
    <w:rsid w:val="00AC5D68"/>
    <w:rsid w:val="00AD0E27"/>
    <w:rsid w:val="00AE3258"/>
    <w:rsid w:val="00AF0602"/>
    <w:rsid w:val="00AF1C75"/>
    <w:rsid w:val="00AF65A8"/>
    <w:rsid w:val="00B0201F"/>
    <w:rsid w:val="00B10D7C"/>
    <w:rsid w:val="00B1538E"/>
    <w:rsid w:val="00B15C26"/>
    <w:rsid w:val="00B47E76"/>
    <w:rsid w:val="00B50739"/>
    <w:rsid w:val="00BB50B2"/>
    <w:rsid w:val="00BB5111"/>
    <w:rsid w:val="00BC0DE5"/>
    <w:rsid w:val="00BD16ED"/>
    <w:rsid w:val="00BF5748"/>
    <w:rsid w:val="00BF6673"/>
    <w:rsid w:val="00C05E2A"/>
    <w:rsid w:val="00C21D3E"/>
    <w:rsid w:val="00C22821"/>
    <w:rsid w:val="00C24A2D"/>
    <w:rsid w:val="00C323F9"/>
    <w:rsid w:val="00C344AE"/>
    <w:rsid w:val="00C5030B"/>
    <w:rsid w:val="00C55A7A"/>
    <w:rsid w:val="00C569F5"/>
    <w:rsid w:val="00C6129D"/>
    <w:rsid w:val="00C75AC7"/>
    <w:rsid w:val="00C82849"/>
    <w:rsid w:val="00C873A7"/>
    <w:rsid w:val="00C90D9B"/>
    <w:rsid w:val="00C937A6"/>
    <w:rsid w:val="00CA0C15"/>
    <w:rsid w:val="00CC1719"/>
    <w:rsid w:val="00CC43D9"/>
    <w:rsid w:val="00CE19AF"/>
    <w:rsid w:val="00CE2BF3"/>
    <w:rsid w:val="00CF153F"/>
    <w:rsid w:val="00CF5E1D"/>
    <w:rsid w:val="00D12567"/>
    <w:rsid w:val="00D31160"/>
    <w:rsid w:val="00D350EE"/>
    <w:rsid w:val="00D62C32"/>
    <w:rsid w:val="00D6646B"/>
    <w:rsid w:val="00D706F7"/>
    <w:rsid w:val="00D828B6"/>
    <w:rsid w:val="00D901B9"/>
    <w:rsid w:val="00D95016"/>
    <w:rsid w:val="00DB3026"/>
    <w:rsid w:val="00DD56A9"/>
    <w:rsid w:val="00DE0B39"/>
    <w:rsid w:val="00DE3333"/>
    <w:rsid w:val="00E03895"/>
    <w:rsid w:val="00E15481"/>
    <w:rsid w:val="00E60270"/>
    <w:rsid w:val="00E62F0A"/>
    <w:rsid w:val="00E65964"/>
    <w:rsid w:val="00E74C52"/>
    <w:rsid w:val="00E75409"/>
    <w:rsid w:val="00E8209E"/>
    <w:rsid w:val="00E82F65"/>
    <w:rsid w:val="00E8522A"/>
    <w:rsid w:val="00E86BC4"/>
    <w:rsid w:val="00E91EA5"/>
    <w:rsid w:val="00EA7CE4"/>
    <w:rsid w:val="00ED35F6"/>
    <w:rsid w:val="00EE0225"/>
    <w:rsid w:val="00F15CF5"/>
    <w:rsid w:val="00F3587D"/>
    <w:rsid w:val="00F44600"/>
    <w:rsid w:val="00F532CB"/>
    <w:rsid w:val="00F70E66"/>
    <w:rsid w:val="00F70F59"/>
    <w:rsid w:val="00F956B4"/>
    <w:rsid w:val="00FA197E"/>
    <w:rsid w:val="00FA68E4"/>
    <w:rsid w:val="00FC29DE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2024-05-14T12:29:00Z</cp:lastPrinted>
  <dcterms:created xsi:type="dcterms:W3CDTF">2024-05-24T07:29:00Z</dcterms:created>
  <dcterms:modified xsi:type="dcterms:W3CDTF">2024-05-24T07:29:00Z</dcterms:modified>
</cp:coreProperties>
</file>